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4140"/>
        <w:gridCol w:w="6120"/>
      </w:tblGrid>
      <w:tr w:rsidR="006C79C1" w:rsidRPr="006C79C1" w:rsidTr="00C176A4">
        <w:trPr>
          <w:trHeight w:val="817"/>
        </w:trPr>
        <w:tc>
          <w:tcPr>
            <w:tcW w:w="10260" w:type="dxa"/>
            <w:gridSpan w:val="2"/>
            <w:shd w:val="clear" w:color="auto" w:fill="auto"/>
          </w:tcPr>
          <w:p w:rsidR="00487368" w:rsidRPr="006C79C1" w:rsidRDefault="00487368" w:rsidP="00C176A4">
            <w:pPr>
              <w:tabs>
                <w:tab w:val="left" w:pos="3832"/>
              </w:tabs>
              <w:jc w:val="center"/>
              <w:rPr>
                <w:b/>
              </w:rPr>
            </w:pPr>
            <w:r w:rsidRPr="006C79C1">
              <w:rPr>
                <w:b/>
              </w:rPr>
              <w:t>OBRAZAC</w:t>
            </w:r>
          </w:p>
          <w:p w:rsidR="00487368" w:rsidRPr="006C79C1" w:rsidRDefault="00485374" w:rsidP="00C176A4">
            <w:pPr>
              <w:jc w:val="center"/>
              <w:rPr>
                <w:b/>
              </w:rPr>
            </w:pPr>
            <w:r w:rsidRPr="006C79C1">
              <w:rPr>
                <w:b/>
              </w:rPr>
              <w:t>i</w:t>
            </w:r>
            <w:r w:rsidR="00487368" w:rsidRPr="006C79C1">
              <w:rPr>
                <w:b/>
              </w:rPr>
              <w:t>zvješća</w:t>
            </w:r>
            <w:r w:rsidR="009A5822" w:rsidRPr="006C79C1">
              <w:rPr>
                <w:b/>
              </w:rPr>
              <w:t xml:space="preserve"> o provedenom savjetovanju s </w:t>
            </w:r>
            <w:r w:rsidR="00487368" w:rsidRPr="006C79C1">
              <w:rPr>
                <w:b/>
              </w:rPr>
              <w:t>javnošću</w:t>
            </w:r>
          </w:p>
          <w:p w:rsidR="00487368" w:rsidRPr="006C79C1" w:rsidRDefault="00487368" w:rsidP="00487368"/>
        </w:tc>
      </w:tr>
      <w:tr w:rsidR="006C79C1" w:rsidRPr="006C79C1" w:rsidTr="00C176A4">
        <w:trPr>
          <w:trHeight w:val="500"/>
        </w:trPr>
        <w:tc>
          <w:tcPr>
            <w:tcW w:w="4140" w:type="dxa"/>
            <w:tcBorders>
              <w:right w:val="single" w:sz="4" w:space="0" w:color="auto"/>
            </w:tcBorders>
            <w:shd w:val="clear" w:color="auto" w:fill="auto"/>
            <w:vAlign w:val="center"/>
          </w:tcPr>
          <w:p w:rsidR="00487368" w:rsidRPr="006C79C1" w:rsidRDefault="00487368" w:rsidP="00487368">
            <w:pPr>
              <w:rPr>
                <w:b/>
              </w:rPr>
            </w:pPr>
            <w:r w:rsidRPr="006C79C1">
              <w:rPr>
                <w:b/>
              </w:rPr>
              <w:t xml:space="preserve">Naziv nacrta odluke ili drugog općeg akta o kojem je savjetovanje provedeno </w:t>
            </w:r>
          </w:p>
        </w:tc>
        <w:tc>
          <w:tcPr>
            <w:tcW w:w="6120" w:type="dxa"/>
            <w:tcBorders>
              <w:left w:val="single" w:sz="4" w:space="0" w:color="auto"/>
            </w:tcBorders>
            <w:shd w:val="clear" w:color="auto" w:fill="auto"/>
            <w:vAlign w:val="center"/>
          </w:tcPr>
          <w:p w:rsidR="00A1571E" w:rsidRPr="006C79C1" w:rsidRDefault="00A1571E" w:rsidP="00A1571E">
            <w:pPr>
              <w:pStyle w:val="NoSpacing"/>
              <w:rPr>
                <w:rFonts w:ascii="Times New Roman" w:hAnsi="Times New Roman"/>
                <w:sz w:val="24"/>
                <w:szCs w:val="24"/>
              </w:rPr>
            </w:pPr>
            <w:r w:rsidRPr="006C79C1">
              <w:rPr>
                <w:rFonts w:ascii="Times New Roman" w:hAnsi="Times New Roman"/>
                <w:sz w:val="24"/>
                <w:szCs w:val="24"/>
              </w:rPr>
              <w:t>Odluka o postupku dodjele površine javne namjene za postavljanje reklama i reklamnih panoa namijenjenih za komercijalno oglašavanje</w:t>
            </w:r>
          </w:p>
          <w:p w:rsidR="00A1571E" w:rsidRPr="006C79C1" w:rsidRDefault="00A1571E" w:rsidP="00A1571E"/>
          <w:p w:rsidR="00487368" w:rsidRPr="006C79C1" w:rsidRDefault="00487368" w:rsidP="00C176A4">
            <w:pPr>
              <w:jc w:val="both"/>
              <w:rPr>
                <w:b/>
              </w:rPr>
            </w:pPr>
          </w:p>
        </w:tc>
      </w:tr>
      <w:tr w:rsidR="006C79C1" w:rsidRPr="006C79C1" w:rsidTr="00C176A4">
        <w:trPr>
          <w:trHeight w:val="932"/>
        </w:trPr>
        <w:tc>
          <w:tcPr>
            <w:tcW w:w="4140" w:type="dxa"/>
            <w:tcBorders>
              <w:right w:val="single" w:sz="4" w:space="0" w:color="auto"/>
            </w:tcBorders>
            <w:shd w:val="clear" w:color="auto" w:fill="auto"/>
            <w:vAlign w:val="center"/>
          </w:tcPr>
          <w:p w:rsidR="00487368" w:rsidRPr="006C79C1" w:rsidRDefault="00487368" w:rsidP="00487368">
            <w:pPr>
              <w:rPr>
                <w:b/>
              </w:rPr>
            </w:pPr>
            <w:r w:rsidRPr="006C79C1">
              <w:rPr>
                <w:b/>
              </w:rPr>
              <w:t>Nositelj izrade nacrta akta (gradsko upravno tijelo koje je provelo savjetovanje)</w:t>
            </w:r>
          </w:p>
        </w:tc>
        <w:tc>
          <w:tcPr>
            <w:tcW w:w="6120" w:type="dxa"/>
            <w:tcBorders>
              <w:left w:val="single" w:sz="4" w:space="0" w:color="auto"/>
            </w:tcBorders>
            <w:shd w:val="clear" w:color="auto" w:fill="auto"/>
            <w:vAlign w:val="center"/>
          </w:tcPr>
          <w:p w:rsidR="00423E43" w:rsidRPr="006C79C1" w:rsidRDefault="00423E43" w:rsidP="00423E43">
            <w:pPr>
              <w:jc w:val="both"/>
              <w:rPr>
                <w:rFonts w:eastAsia="Calibri"/>
                <w:lang w:eastAsia="en-US"/>
              </w:rPr>
            </w:pPr>
            <w:r w:rsidRPr="006C79C1">
              <w:rPr>
                <w:rFonts w:eastAsia="Calibri"/>
                <w:lang w:eastAsia="en-US"/>
              </w:rPr>
              <w:t>Gradski ured za prostorno uređenje, izgradnju Grada, graditeljstvo, komunalne poslove i promet</w:t>
            </w:r>
          </w:p>
          <w:p w:rsidR="00423E43" w:rsidRPr="006C79C1" w:rsidRDefault="00423E43" w:rsidP="00423E43">
            <w:pPr>
              <w:ind w:left="705"/>
              <w:jc w:val="both"/>
              <w:rPr>
                <w:rFonts w:eastAsia="Calibri"/>
                <w:lang w:eastAsia="en-US"/>
              </w:rPr>
            </w:pPr>
          </w:p>
          <w:p w:rsidR="00487368" w:rsidRPr="006C79C1" w:rsidRDefault="00487368" w:rsidP="00C176A4">
            <w:pPr>
              <w:jc w:val="both"/>
              <w:rPr>
                <w:b/>
              </w:rPr>
            </w:pPr>
          </w:p>
        </w:tc>
      </w:tr>
      <w:tr w:rsidR="006C79C1" w:rsidRPr="006C79C1" w:rsidTr="00C176A4">
        <w:trPr>
          <w:trHeight w:val="561"/>
        </w:trPr>
        <w:tc>
          <w:tcPr>
            <w:tcW w:w="4140" w:type="dxa"/>
            <w:tcBorders>
              <w:right w:val="single" w:sz="4" w:space="0" w:color="auto"/>
            </w:tcBorders>
            <w:shd w:val="clear" w:color="auto" w:fill="auto"/>
            <w:vAlign w:val="center"/>
          </w:tcPr>
          <w:p w:rsidR="00487368" w:rsidRPr="006C79C1" w:rsidRDefault="00487368" w:rsidP="00C176A4">
            <w:pPr>
              <w:jc w:val="both"/>
              <w:rPr>
                <w:b/>
              </w:rPr>
            </w:pPr>
            <w:r w:rsidRPr="006C79C1">
              <w:rPr>
                <w:b/>
              </w:rPr>
              <w:t>Vrijeme trajanja savjetovanja</w:t>
            </w:r>
          </w:p>
        </w:tc>
        <w:tc>
          <w:tcPr>
            <w:tcW w:w="6120" w:type="dxa"/>
            <w:tcBorders>
              <w:left w:val="single" w:sz="4" w:space="0" w:color="auto"/>
            </w:tcBorders>
            <w:shd w:val="clear" w:color="auto" w:fill="auto"/>
            <w:vAlign w:val="center"/>
          </w:tcPr>
          <w:p w:rsidR="00487368" w:rsidRPr="006C79C1" w:rsidRDefault="00A1571E" w:rsidP="00C176A4">
            <w:pPr>
              <w:jc w:val="both"/>
            </w:pPr>
            <w:r w:rsidRPr="006C79C1">
              <w:t>2. 8. 2019. – 2. 9. 2019.</w:t>
            </w:r>
          </w:p>
        </w:tc>
      </w:tr>
      <w:tr w:rsidR="006C79C1" w:rsidRPr="006C79C1" w:rsidTr="00C176A4">
        <w:trPr>
          <w:trHeight w:val="561"/>
        </w:trPr>
        <w:tc>
          <w:tcPr>
            <w:tcW w:w="4140" w:type="dxa"/>
            <w:tcBorders>
              <w:right w:val="single" w:sz="4" w:space="0" w:color="auto"/>
            </w:tcBorders>
            <w:shd w:val="clear" w:color="auto" w:fill="auto"/>
            <w:vAlign w:val="center"/>
          </w:tcPr>
          <w:p w:rsidR="00487368" w:rsidRPr="006C79C1" w:rsidRDefault="00487368" w:rsidP="00C176A4">
            <w:pPr>
              <w:jc w:val="both"/>
              <w:rPr>
                <w:b/>
              </w:rPr>
            </w:pPr>
            <w:r w:rsidRPr="006C79C1">
              <w:rPr>
                <w:b/>
              </w:rPr>
              <w:t xml:space="preserve">Metoda savjetovanja </w:t>
            </w:r>
          </w:p>
        </w:tc>
        <w:tc>
          <w:tcPr>
            <w:tcW w:w="6120" w:type="dxa"/>
            <w:tcBorders>
              <w:left w:val="single" w:sz="4" w:space="0" w:color="auto"/>
            </w:tcBorders>
            <w:shd w:val="clear" w:color="auto" w:fill="auto"/>
            <w:vAlign w:val="center"/>
          </w:tcPr>
          <w:p w:rsidR="00487368" w:rsidRPr="006C79C1" w:rsidRDefault="00423E43" w:rsidP="00C176A4">
            <w:pPr>
              <w:jc w:val="both"/>
            </w:pPr>
            <w:r w:rsidRPr="006C79C1">
              <w:t>Internetsko savjetovanje</w:t>
            </w:r>
          </w:p>
        </w:tc>
      </w:tr>
    </w:tbl>
    <w:p w:rsidR="00487368" w:rsidRPr="006C79C1" w:rsidRDefault="00487368" w:rsidP="00487368"/>
    <w:tbl>
      <w:tblPr>
        <w:tblW w:w="103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1849"/>
        <w:gridCol w:w="1553"/>
        <w:gridCol w:w="3260"/>
        <w:gridCol w:w="2977"/>
      </w:tblGrid>
      <w:tr w:rsidR="006C79C1" w:rsidRPr="006C79C1" w:rsidTr="00BB1231">
        <w:tc>
          <w:tcPr>
            <w:tcW w:w="671" w:type="dxa"/>
            <w:tcBorders>
              <w:top w:val="thinThickSmallGap" w:sz="24" w:space="0" w:color="auto"/>
              <w:left w:val="thinThickSmallGap" w:sz="24" w:space="0" w:color="auto"/>
            </w:tcBorders>
            <w:shd w:val="clear" w:color="auto" w:fill="auto"/>
            <w:vAlign w:val="center"/>
          </w:tcPr>
          <w:p w:rsidR="00487368" w:rsidRPr="006C79C1" w:rsidRDefault="00487368" w:rsidP="00C176A4">
            <w:pPr>
              <w:jc w:val="center"/>
            </w:pPr>
            <w:r w:rsidRPr="006C79C1">
              <w:t>Red. br.</w:t>
            </w:r>
          </w:p>
        </w:tc>
        <w:tc>
          <w:tcPr>
            <w:tcW w:w="1849" w:type="dxa"/>
            <w:tcBorders>
              <w:top w:val="thinThickSmallGap" w:sz="24" w:space="0" w:color="auto"/>
            </w:tcBorders>
            <w:shd w:val="clear" w:color="auto" w:fill="auto"/>
            <w:vAlign w:val="center"/>
          </w:tcPr>
          <w:p w:rsidR="00487368" w:rsidRPr="006C79C1" w:rsidRDefault="00487368" w:rsidP="00C176A4">
            <w:pPr>
              <w:jc w:val="center"/>
            </w:pPr>
            <w:r w:rsidRPr="006C79C1">
              <w:t>Predstavnici  javnosti (pojedinac, organizacija, institucija)</w:t>
            </w:r>
          </w:p>
        </w:tc>
        <w:tc>
          <w:tcPr>
            <w:tcW w:w="1553" w:type="dxa"/>
            <w:tcBorders>
              <w:top w:val="thinThickSmallGap" w:sz="24" w:space="0" w:color="auto"/>
            </w:tcBorders>
            <w:shd w:val="clear" w:color="auto" w:fill="auto"/>
            <w:vAlign w:val="center"/>
          </w:tcPr>
          <w:p w:rsidR="00487368" w:rsidRPr="006C79C1" w:rsidRDefault="00487368" w:rsidP="00C176A4">
            <w:pPr>
              <w:jc w:val="center"/>
            </w:pPr>
            <w:r w:rsidRPr="006C79C1">
              <w:t>Članak na koji se odnosi primjedba/</w:t>
            </w:r>
          </w:p>
          <w:p w:rsidR="00487368" w:rsidRPr="006C79C1" w:rsidRDefault="00487368" w:rsidP="00C176A4">
            <w:pPr>
              <w:jc w:val="center"/>
            </w:pPr>
            <w:r w:rsidRPr="006C79C1">
              <w:t>prijedlog</w:t>
            </w:r>
          </w:p>
        </w:tc>
        <w:tc>
          <w:tcPr>
            <w:tcW w:w="3260" w:type="dxa"/>
            <w:tcBorders>
              <w:top w:val="thinThickSmallGap" w:sz="24" w:space="0" w:color="auto"/>
            </w:tcBorders>
            <w:shd w:val="clear" w:color="auto" w:fill="auto"/>
            <w:vAlign w:val="center"/>
          </w:tcPr>
          <w:p w:rsidR="00487368" w:rsidRPr="006C79C1" w:rsidRDefault="00487368" w:rsidP="00C176A4">
            <w:pPr>
              <w:jc w:val="center"/>
            </w:pPr>
            <w:r w:rsidRPr="006C79C1">
              <w:t>Tekst primjedbe/</w:t>
            </w:r>
          </w:p>
          <w:p w:rsidR="00487368" w:rsidRPr="006C79C1" w:rsidRDefault="00487368" w:rsidP="00C176A4">
            <w:pPr>
              <w:jc w:val="center"/>
            </w:pPr>
            <w:r w:rsidRPr="006C79C1">
              <w:t>prijedloga</w:t>
            </w:r>
          </w:p>
        </w:tc>
        <w:tc>
          <w:tcPr>
            <w:tcW w:w="2977" w:type="dxa"/>
            <w:tcBorders>
              <w:top w:val="thinThickSmallGap" w:sz="24" w:space="0" w:color="auto"/>
              <w:right w:val="thinThickSmallGap" w:sz="24" w:space="0" w:color="auto"/>
            </w:tcBorders>
            <w:shd w:val="clear" w:color="auto" w:fill="auto"/>
            <w:vAlign w:val="center"/>
          </w:tcPr>
          <w:p w:rsidR="00487368" w:rsidRPr="006C79C1" w:rsidRDefault="00487368" w:rsidP="00C176A4">
            <w:pPr>
              <w:jc w:val="center"/>
            </w:pPr>
            <w:r w:rsidRPr="006C79C1">
              <w:t>Prihvaćanje/ neprihvaćanje primjedbe/ prijedloga sa obrazloženjem</w:t>
            </w:r>
          </w:p>
        </w:tc>
      </w:tr>
      <w:tr w:rsidR="006C79C1" w:rsidRPr="006C79C1" w:rsidTr="00BB1231">
        <w:tc>
          <w:tcPr>
            <w:tcW w:w="671" w:type="dxa"/>
            <w:tcBorders>
              <w:left w:val="thinThickSmallGap" w:sz="24" w:space="0" w:color="auto"/>
            </w:tcBorders>
            <w:shd w:val="clear" w:color="auto" w:fill="auto"/>
          </w:tcPr>
          <w:p w:rsidR="00487368" w:rsidRPr="006C79C1" w:rsidRDefault="00423E43" w:rsidP="00487368">
            <w:r w:rsidRPr="006C79C1">
              <w:t>1.</w:t>
            </w:r>
          </w:p>
        </w:tc>
        <w:tc>
          <w:tcPr>
            <w:tcW w:w="1849" w:type="dxa"/>
            <w:shd w:val="clear" w:color="auto" w:fill="auto"/>
          </w:tcPr>
          <w:p w:rsidR="00487368" w:rsidRPr="006C79C1" w:rsidRDefault="00A1571E" w:rsidP="009B6CE1">
            <w:proofErr w:type="spellStart"/>
            <w:r w:rsidRPr="006C79C1">
              <w:t>outdoor</w:t>
            </w:r>
            <w:proofErr w:type="spellEnd"/>
            <w:r w:rsidRPr="006C79C1">
              <w:t xml:space="preserve"> </w:t>
            </w:r>
            <w:proofErr w:type="spellStart"/>
            <w:r w:rsidRPr="006C79C1">
              <w:t>akzent</w:t>
            </w:r>
            <w:proofErr w:type="spellEnd"/>
            <w:r w:rsidRPr="006C79C1">
              <w:t xml:space="preserve"> d.o.o. zastupan po </w:t>
            </w:r>
            <w:r w:rsidR="00DA3CD1" w:rsidRPr="006C79C1">
              <w:t>o</w:t>
            </w:r>
            <w:r w:rsidRPr="006C79C1">
              <w:t xml:space="preserve">dvjetničkom društvu </w:t>
            </w:r>
            <w:proofErr w:type="spellStart"/>
            <w:r w:rsidRPr="006C79C1">
              <w:t>nezović</w:t>
            </w:r>
            <w:proofErr w:type="spellEnd"/>
            <w:r w:rsidRPr="006C79C1">
              <w:t xml:space="preserve"> &amp; Partneri </w:t>
            </w:r>
            <w:proofErr w:type="spellStart"/>
            <w:r w:rsidRPr="006C79C1">
              <w:t>j.t.d</w:t>
            </w:r>
            <w:proofErr w:type="spellEnd"/>
            <w:r w:rsidRPr="006C79C1">
              <w:t xml:space="preserve"> </w:t>
            </w:r>
          </w:p>
        </w:tc>
        <w:tc>
          <w:tcPr>
            <w:tcW w:w="1553" w:type="dxa"/>
            <w:shd w:val="clear" w:color="auto" w:fill="auto"/>
          </w:tcPr>
          <w:p w:rsidR="00487368" w:rsidRPr="006C79C1" w:rsidRDefault="002C1329" w:rsidP="009B6CE1">
            <w:r w:rsidRPr="006C79C1">
              <w:t>Članak 2.</w:t>
            </w:r>
          </w:p>
        </w:tc>
        <w:tc>
          <w:tcPr>
            <w:tcW w:w="3260" w:type="dxa"/>
            <w:shd w:val="clear" w:color="auto" w:fill="auto"/>
          </w:tcPr>
          <w:p w:rsidR="00A1571E" w:rsidRPr="006C79C1" w:rsidRDefault="00A1571E" w:rsidP="00A1571E">
            <w:pPr>
              <w:jc w:val="both"/>
              <w:rPr>
                <w:i/>
                <w:iCs/>
              </w:rPr>
            </w:pPr>
            <w:r w:rsidRPr="006C79C1">
              <w:t xml:space="preserve">Obzirom Odlukom nije razrađeno pitanje podzakupa, slobodni smo predložiti da se u Odluci unese sljedeće odredba: </w:t>
            </w:r>
            <w:r w:rsidRPr="006C79C1">
              <w:rPr>
                <w:i/>
                <w:iCs/>
              </w:rPr>
              <w:t xml:space="preserve">„Zakupniku je dopušteno dati trećoj osobi u podzakup, na korištenje ili </w:t>
            </w:r>
            <w:proofErr w:type="spellStart"/>
            <w:r w:rsidRPr="006C79C1">
              <w:rPr>
                <w:i/>
                <w:iCs/>
              </w:rPr>
              <w:t>sukorištenje</w:t>
            </w:r>
            <w:proofErr w:type="spellEnd"/>
            <w:r w:rsidRPr="006C79C1">
              <w:rPr>
                <w:i/>
                <w:iCs/>
              </w:rPr>
              <w:t xml:space="preserve"> površinu javne namjene radi postavljanja reklama i reklamnih panoa, a o čemu je Zakupnik dužan pisanim putem obavijestiti Grad Zagreb u roku od 8 dana od dana sklapanja ugovora o podzakupu.“</w:t>
            </w:r>
          </w:p>
          <w:p w:rsidR="00A1571E" w:rsidRPr="006C79C1" w:rsidRDefault="00A1571E" w:rsidP="00A1571E">
            <w:pPr>
              <w:jc w:val="both"/>
            </w:pPr>
          </w:p>
          <w:p w:rsidR="00487368" w:rsidRPr="006C79C1" w:rsidRDefault="00487368" w:rsidP="00423E43"/>
        </w:tc>
        <w:tc>
          <w:tcPr>
            <w:tcW w:w="2977" w:type="dxa"/>
            <w:tcBorders>
              <w:right w:val="thinThickSmallGap" w:sz="24" w:space="0" w:color="auto"/>
            </w:tcBorders>
            <w:shd w:val="clear" w:color="auto" w:fill="auto"/>
          </w:tcPr>
          <w:p w:rsidR="007B4BB5" w:rsidRPr="006C79C1" w:rsidRDefault="007B4BB5" w:rsidP="007B4BB5">
            <w:r w:rsidRPr="006C79C1">
              <w:t>Primjedba se ne pri</w:t>
            </w:r>
            <w:r w:rsidR="00DA3CD1" w:rsidRPr="006C79C1">
              <w:t>hvaća uz slijedeće obrazloženje.</w:t>
            </w:r>
          </w:p>
          <w:p w:rsidR="00984797" w:rsidRPr="006C79C1" w:rsidRDefault="00DA3CD1" w:rsidP="007B4BB5">
            <w:r w:rsidRPr="006C79C1">
              <w:t>U okviru dobrog upravljanja površinama javne namjene u interesu Grada Zagreba je da davanje na privremeno korištenje</w:t>
            </w:r>
            <w:r w:rsidR="00984797" w:rsidRPr="006C79C1">
              <w:t xml:space="preserve"> površina javne namjene</w:t>
            </w:r>
            <w:r w:rsidRPr="006C79C1">
              <w:t xml:space="preserve"> uredi na</w:t>
            </w:r>
            <w:r w:rsidR="00984797" w:rsidRPr="006C79C1">
              <w:t xml:space="preserve">  </w:t>
            </w:r>
            <w:r w:rsidRPr="006C79C1">
              <w:t xml:space="preserve">način </w:t>
            </w:r>
            <w:r w:rsidR="00984797" w:rsidRPr="006C79C1">
              <w:t xml:space="preserve"> </w:t>
            </w:r>
            <w:r w:rsidR="006F610D" w:rsidRPr="006C79C1">
              <w:t xml:space="preserve">da se </w:t>
            </w:r>
            <w:r w:rsidR="00984797" w:rsidRPr="006C79C1">
              <w:t xml:space="preserve">osigura nadzor korištenja navedenih površina i uredno izvršenje preuzetih obveza od strane </w:t>
            </w:r>
            <w:r w:rsidR="006F610D" w:rsidRPr="006C79C1">
              <w:t>zakupnika.</w:t>
            </w:r>
          </w:p>
          <w:p w:rsidR="00DA3CD1" w:rsidRPr="006C79C1" w:rsidRDefault="00DA3CD1" w:rsidP="007B4BB5"/>
          <w:p w:rsidR="00DA3CD1" w:rsidRPr="006C79C1" w:rsidRDefault="00DA3CD1" w:rsidP="007B4BB5"/>
          <w:p w:rsidR="009B6CE1" w:rsidRPr="006C79C1" w:rsidRDefault="009B6CE1" w:rsidP="007B4BB5"/>
        </w:tc>
      </w:tr>
      <w:tr w:rsidR="006C79C1" w:rsidRPr="006C79C1" w:rsidTr="00BB1231">
        <w:tc>
          <w:tcPr>
            <w:tcW w:w="671" w:type="dxa"/>
            <w:tcBorders>
              <w:left w:val="thinThickSmallGap" w:sz="24" w:space="0" w:color="auto"/>
            </w:tcBorders>
            <w:shd w:val="clear" w:color="auto" w:fill="auto"/>
          </w:tcPr>
          <w:p w:rsidR="00487368" w:rsidRPr="006C79C1" w:rsidRDefault="00487368" w:rsidP="00487368"/>
        </w:tc>
        <w:tc>
          <w:tcPr>
            <w:tcW w:w="1849" w:type="dxa"/>
            <w:shd w:val="clear" w:color="auto" w:fill="auto"/>
          </w:tcPr>
          <w:p w:rsidR="00487368" w:rsidRPr="006C79C1" w:rsidRDefault="00487368" w:rsidP="00487368"/>
          <w:p w:rsidR="00487368" w:rsidRPr="006C79C1" w:rsidRDefault="00487368" w:rsidP="00487368"/>
          <w:p w:rsidR="00487368" w:rsidRPr="006C79C1" w:rsidRDefault="00487368" w:rsidP="00487368"/>
        </w:tc>
        <w:tc>
          <w:tcPr>
            <w:tcW w:w="1553" w:type="dxa"/>
            <w:shd w:val="clear" w:color="auto" w:fill="auto"/>
          </w:tcPr>
          <w:p w:rsidR="00487368" w:rsidRPr="006C79C1" w:rsidRDefault="00A1571E" w:rsidP="00487368">
            <w:r w:rsidRPr="006C79C1">
              <w:t>Članak 2.</w:t>
            </w:r>
          </w:p>
        </w:tc>
        <w:tc>
          <w:tcPr>
            <w:tcW w:w="3260" w:type="dxa"/>
            <w:shd w:val="clear" w:color="auto" w:fill="auto"/>
          </w:tcPr>
          <w:p w:rsidR="00A1571E" w:rsidRPr="006C79C1" w:rsidRDefault="00A1571E" w:rsidP="00740201">
            <w:r w:rsidRPr="006C79C1">
              <w:t xml:space="preserve">Odlukom je propisano kako se javne površine daju u zakup javnim natječajem sukladno Planu lokacija za dodjelu površine javne namjene za postavljanje reklama i reklamnih panoa namijenjenih za komercijalno oglašavanje, međutim nije točno navedeno o kojim lokacijama je riječ obzirom će Plan lokacije biti donesen tek naknadno. </w:t>
            </w:r>
            <w:r w:rsidRPr="006C79C1">
              <w:lastRenderedPageBreak/>
              <w:t>Također, u Odluci se navodi kako je iznos zakupnine propisan pravilnikom kojim se određuje naknada za postavljanje reklama i reklamnih panoa, međutim iz Odluke nije razvidno o kojem pravilniku je točno riječ. Na službenim stranicama Grada Zagreba postoji jedino Pravilnik o kriterijima za određivanje naknade za postavljanje ploča s natpisom, plakata, zastavica na jarbolima, reklama i reklamnih panoa, međutim iz odredbe članka 2. Odluke ne proizlazi jasno da li se primjenjuje upravo taj pravilnik ili neki drugi.</w:t>
            </w:r>
          </w:p>
          <w:p w:rsidR="00A1571E" w:rsidRPr="006C79C1" w:rsidRDefault="00A1571E" w:rsidP="00740201"/>
          <w:p w:rsidR="00A1571E" w:rsidRPr="006C79C1" w:rsidRDefault="00A1571E" w:rsidP="00740201">
            <w:r w:rsidRPr="006C79C1">
              <w:t>Stoga, predlažemo da se predmetni dokumenti prilože Odluci ili da se Odlukom detaljnije razrade odredbe o lokaciji koje su predmet zakupa kao i odredbe o načinu određivanja zakupnine, a obzirom je isto od odlučujućeg značaja za sudjelovanje u budućim javnim natječajima. Naime, na većini lokacija u Zagrebu namijenjenim komercijalnom oglašavanju, postavljeni su reklamni panoi, a zbog čega je bitno već prilikom donošenja Odluke utvrditi koje lokacije dolaze u obzir, odnosno koje lokacije će biti predmet zakupa iz ove Odluke, a kako bi subjekti koji se bave komercijalnim oglašavanjem mogli planirati svoje poslovne aktivnosti.</w:t>
            </w:r>
          </w:p>
          <w:p w:rsidR="00A1571E" w:rsidRPr="006C79C1" w:rsidRDefault="00A1571E" w:rsidP="00740201">
            <w:pPr>
              <w:rPr>
                <w:b/>
                <w:bCs/>
                <w:u w:val="single"/>
              </w:rPr>
            </w:pPr>
          </w:p>
          <w:p w:rsidR="00487368" w:rsidRPr="006C79C1" w:rsidRDefault="00487368" w:rsidP="00740201"/>
        </w:tc>
        <w:tc>
          <w:tcPr>
            <w:tcW w:w="2977" w:type="dxa"/>
            <w:tcBorders>
              <w:right w:val="thinThickSmallGap" w:sz="24" w:space="0" w:color="auto"/>
            </w:tcBorders>
            <w:shd w:val="clear" w:color="auto" w:fill="auto"/>
          </w:tcPr>
          <w:p w:rsidR="007B4BB5" w:rsidRPr="006C79C1" w:rsidRDefault="007B4BB5" w:rsidP="007B4BB5">
            <w:pPr>
              <w:jc w:val="both"/>
            </w:pPr>
            <w:r w:rsidRPr="006C79C1">
              <w:lastRenderedPageBreak/>
              <w:t>Primjedba se djelomično prihvaća na način da je u Prijedlog odluke u članak 2. uvršten stavak 4. prema kojem će se  Plan lokacija objaviti na službenoj stranici Grada Zagreba.</w:t>
            </w:r>
          </w:p>
          <w:p w:rsidR="007B4BB5" w:rsidRPr="006C79C1" w:rsidRDefault="007B4BB5" w:rsidP="007B4BB5">
            <w:pPr>
              <w:jc w:val="both"/>
            </w:pPr>
          </w:p>
          <w:p w:rsidR="007B4BB5" w:rsidRPr="006C79C1" w:rsidRDefault="007B4BB5" w:rsidP="000950BB">
            <w:r w:rsidRPr="006C79C1">
              <w:t>U o</w:t>
            </w:r>
            <w:r w:rsidR="000950BB" w:rsidRPr="006C79C1">
              <w:t>dnosu utvrđivanje iznosa zakupnine pravilnikom kojim se određuje naknada za postavl</w:t>
            </w:r>
            <w:r w:rsidR="00654769" w:rsidRPr="006C79C1">
              <w:t xml:space="preserve">janje reklama i </w:t>
            </w:r>
            <w:r w:rsidR="00654769" w:rsidRPr="006C79C1">
              <w:lastRenderedPageBreak/>
              <w:t>reklamnih panoa</w:t>
            </w:r>
            <w:r w:rsidR="000950BB" w:rsidRPr="006C79C1">
              <w:t xml:space="preserve"> navodimo da predložena odredba  upućuje na primjenu  </w:t>
            </w:r>
            <w:r w:rsidR="00654769" w:rsidRPr="006C79C1">
              <w:t>p</w:t>
            </w:r>
            <w:r w:rsidR="000950BB" w:rsidRPr="006C79C1">
              <w:t>ravilnik</w:t>
            </w:r>
            <w:r w:rsidR="00654769" w:rsidRPr="006C79C1">
              <w:t>a</w:t>
            </w:r>
            <w:r w:rsidR="000950BB" w:rsidRPr="006C79C1">
              <w:t>.</w:t>
            </w:r>
            <w:r w:rsidR="00654769" w:rsidRPr="006C79C1">
              <w:t xml:space="preserve"> Svi  pravilnici Grada Zagreba   dostup</w:t>
            </w:r>
            <w:r w:rsidR="000950BB" w:rsidRPr="006C79C1">
              <w:t>n</w:t>
            </w:r>
            <w:r w:rsidR="00654769" w:rsidRPr="006C79C1">
              <w:t>i su na</w:t>
            </w:r>
            <w:r w:rsidR="000950BB" w:rsidRPr="006C79C1">
              <w:t xml:space="preserve"> službenim stranicama Gra</w:t>
            </w:r>
            <w:r w:rsidR="00DA3CD1" w:rsidRPr="006C79C1">
              <w:t>da Zagreba i u Službenom glasniku</w:t>
            </w:r>
            <w:r w:rsidR="000950BB" w:rsidRPr="006C79C1">
              <w:t xml:space="preserve"> Grada</w:t>
            </w:r>
            <w:r w:rsidR="00DA3CD1" w:rsidRPr="006C79C1">
              <w:t xml:space="preserve"> Zagreba, a prije njihova donošenja provodi se savjetovanje sa zainteresiranom javnošću.</w:t>
            </w:r>
          </w:p>
          <w:p w:rsidR="00487368" w:rsidRPr="006C79C1" w:rsidRDefault="00487368" w:rsidP="00487368"/>
          <w:p w:rsidR="007B4BB5" w:rsidRPr="006C79C1" w:rsidRDefault="007B4BB5" w:rsidP="00487368"/>
        </w:tc>
      </w:tr>
      <w:tr w:rsidR="006C79C1" w:rsidRPr="006C79C1" w:rsidTr="00BB1231">
        <w:tc>
          <w:tcPr>
            <w:tcW w:w="671" w:type="dxa"/>
            <w:tcBorders>
              <w:left w:val="thinThickSmallGap" w:sz="24" w:space="0" w:color="auto"/>
            </w:tcBorders>
            <w:shd w:val="clear" w:color="auto" w:fill="auto"/>
          </w:tcPr>
          <w:p w:rsidR="00487368" w:rsidRPr="006C79C1" w:rsidRDefault="00487368" w:rsidP="00487368"/>
        </w:tc>
        <w:tc>
          <w:tcPr>
            <w:tcW w:w="1849" w:type="dxa"/>
            <w:shd w:val="clear" w:color="auto" w:fill="auto"/>
          </w:tcPr>
          <w:p w:rsidR="00487368" w:rsidRPr="006C79C1" w:rsidRDefault="00487368" w:rsidP="00487368"/>
          <w:p w:rsidR="00487368" w:rsidRPr="006C79C1" w:rsidRDefault="00487368" w:rsidP="00487368"/>
          <w:p w:rsidR="00487368" w:rsidRPr="006C79C1" w:rsidRDefault="00487368" w:rsidP="00487368"/>
        </w:tc>
        <w:tc>
          <w:tcPr>
            <w:tcW w:w="1553" w:type="dxa"/>
            <w:shd w:val="clear" w:color="auto" w:fill="auto"/>
          </w:tcPr>
          <w:p w:rsidR="00487368" w:rsidRPr="006C79C1" w:rsidRDefault="00A1571E" w:rsidP="00487368">
            <w:r w:rsidRPr="006C79C1">
              <w:t>Članak 6.</w:t>
            </w:r>
          </w:p>
        </w:tc>
        <w:tc>
          <w:tcPr>
            <w:tcW w:w="3260" w:type="dxa"/>
            <w:shd w:val="clear" w:color="auto" w:fill="auto"/>
          </w:tcPr>
          <w:p w:rsidR="00A1571E" w:rsidRPr="006C79C1" w:rsidRDefault="00A1571E" w:rsidP="00A1571E">
            <w:pPr>
              <w:jc w:val="both"/>
            </w:pPr>
            <w:r w:rsidRPr="006C79C1">
              <w:t xml:space="preserve">Člankom 6. Odluke propisano je kako je komisija dužna izraditi Plan lokacija i podnijeti ga gradonačelniku na donošenje u roku od 6 mjeseci od dana imenovanja.    </w:t>
            </w:r>
          </w:p>
          <w:p w:rsidR="00A1571E" w:rsidRPr="006C79C1" w:rsidRDefault="00A1571E" w:rsidP="00A1571E">
            <w:pPr>
              <w:jc w:val="both"/>
            </w:pPr>
          </w:p>
          <w:p w:rsidR="00A1571E" w:rsidRPr="006C79C1" w:rsidRDefault="00A1571E" w:rsidP="00A1571E">
            <w:pPr>
              <w:jc w:val="both"/>
            </w:pPr>
            <w:r w:rsidRPr="006C79C1">
              <w:t xml:space="preserve">Iz navedene odredbe kao ni iz ostalih odredaba Odluke ne može se utvrditi po kojim kriterijima će se birati članovi komisije te hoće li prilikom donošenja Plana lokacije biti uključena i zainteresirana stručna javnost. </w:t>
            </w:r>
          </w:p>
          <w:p w:rsidR="00487368" w:rsidRPr="006C79C1" w:rsidRDefault="00487368" w:rsidP="00487368"/>
        </w:tc>
        <w:tc>
          <w:tcPr>
            <w:tcW w:w="2977" w:type="dxa"/>
            <w:tcBorders>
              <w:right w:val="thinThickSmallGap" w:sz="24" w:space="0" w:color="auto"/>
            </w:tcBorders>
            <w:shd w:val="clear" w:color="auto" w:fill="auto"/>
          </w:tcPr>
          <w:p w:rsidR="00654769" w:rsidRPr="006C79C1" w:rsidRDefault="00654769" w:rsidP="00654769">
            <w:r w:rsidRPr="006C79C1">
              <w:lastRenderedPageBreak/>
              <w:t xml:space="preserve">Komisiju imenuje gradonačelnik  i sastoji od po jednoga  predstavnika gradskih upravnih tijela nadležnih za:  promet,  </w:t>
            </w:r>
            <w:r w:rsidRPr="006C79C1">
              <w:lastRenderedPageBreak/>
              <w:t xml:space="preserve">uređenja javnih gradskih prostora, </w:t>
            </w:r>
            <w:r w:rsidR="006F610D" w:rsidRPr="006C79C1">
              <w:t xml:space="preserve">zaštitu </w:t>
            </w:r>
            <w:r w:rsidR="006C79C1" w:rsidRPr="006C79C1">
              <w:t>spomenika</w:t>
            </w:r>
          </w:p>
          <w:p w:rsidR="00487368" w:rsidRPr="006C79C1" w:rsidRDefault="00654769" w:rsidP="00654769">
            <w:r w:rsidRPr="006C79C1">
              <w:t>kulture i prirode,  komunalne poslove i  strategijsko planiranje i razvoj Grada.</w:t>
            </w:r>
          </w:p>
          <w:p w:rsidR="00654769" w:rsidRPr="006C79C1" w:rsidRDefault="00654769" w:rsidP="00654769">
            <w:r w:rsidRPr="006C79C1">
              <w:t>Članovi Komisije biti će predstavnici struke koji u okviru svoga rade prate pitanja o kojima je</w:t>
            </w:r>
            <w:r w:rsidR="00FD70CC" w:rsidRPr="006C79C1">
              <w:t xml:space="preserve"> potrebno voditi računa prilikom postavljanja reklama i reklamnih panoa na javne površine. </w:t>
            </w:r>
            <w:r w:rsidR="006C79C1" w:rsidRPr="006C79C1">
              <w:t>Postavljanje</w:t>
            </w:r>
          </w:p>
          <w:p w:rsidR="00FD70CC" w:rsidRPr="006C79C1" w:rsidRDefault="00FD70CC" w:rsidP="00654769">
            <w:r w:rsidRPr="006C79C1">
              <w:t>reklama i reklamnih panoa od u</w:t>
            </w:r>
            <w:r w:rsidR="006F610D" w:rsidRPr="006C79C1">
              <w:t xml:space="preserve">tjecaja je na uređenje naselja, i isto je </w:t>
            </w:r>
            <w:r w:rsidRPr="006C79C1">
              <w:t xml:space="preserve"> pitanje u nadležnosti jedinice lokalne samouprave prema Zakonu o lokalnoj i područnoj (regionalnoj) samoupravi. Gradonačelnik sukladno Statuta Grada Zagreb</w:t>
            </w:r>
            <w:r w:rsidR="006F610D" w:rsidRPr="006C79C1">
              <w:t>a imenuje i osniva radna tijela.</w:t>
            </w:r>
          </w:p>
        </w:tc>
      </w:tr>
      <w:tr w:rsidR="006C79C1" w:rsidRPr="006C79C1" w:rsidTr="00BB1231">
        <w:tc>
          <w:tcPr>
            <w:tcW w:w="671" w:type="dxa"/>
            <w:tcBorders>
              <w:left w:val="thinThickSmallGap" w:sz="24" w:space="0" w:color="auto"/>
            </w:tcBorders>
            <w:shd w:val="clear" w:color="auto" w:fill="auto"/>
          </w:tcPr>
          <w:p w:rsidR="00487368" w:rsidRPr="006C79C1" w:rsidRDefault="00487368" w:rsidP="00487368"/>
        </w:tc>
        <w:tc>
          <w:tcPr>
            <w:tcW w:w="1849" w:type="dxa"/>
            <w:shd w:val="clear" w:color="auto" w:fill="auto"/>
          </w:tcPr>
          <w:p w:rsidR="00487368" w:rsidRPr="006C79C1" w:rsidRDefault="00487368" w:rsidP="00487368"/>
          <w:p w:rsidR="00487368" w:rsidRPr="006C79C1" w:rsidRDefault="00487368" w:rsidP="00487368"/>
          <w:p w:rsidR="00487368" w:rsidRPr="006C79C1" w:rsidRDefault="00487368" w:rsidP="00487368"/>
        </w:tc>
        <w:tc>
          <w:tcPr>
            <w:tcW w:w="1553" w:type="dxa"/>
            <w:shd w:val="clear" w:color="auto" w:fill="auto"/>
          </w:tcPr>
          <w:p w:rsidR="00487368" w:rsidRPr="006C79C1" w:rsidRDefault="00A1571E" w:rsidP="00487368">
            <w:r w:rsidRPr="006C79C1">
              <w:t>Članak 17.</w:t>
            </w:r>
          </w:p>
        </w:tc>
        <w:tc>
          <w:tcPr>
            <w:tcW w:w="3260" w:type="dxa"/>
            <w:shd w:val="clear" w:color="auto" w:fill="auto"/>
          </w:tcPr>
          <w:p w:rsidR="00A1571E" w:rsidRPr="006C79C1" w:rsidRDefault="00A1571E" w:rsidP="00740201">
            <w:r w:rsidRPr="006C79C1">
              <w:t xml:space="preserve">U vezi naprijed navedene odredbe mišljenja smo kako ne postoji nikakva svrha ni zakonska ovlast da gradonačelnik bez ikakvog obrazloženja poništi već raspisani javni natječaj. Navedeno je potvrdio i Visoki upravni sud Republike Hrvatske u presudi broj Usoz-39/2016 od dana 13. lipnja 2016. godine u kojoj je jasno istaknuo koje su ovlasti predstavničkih i izvršnih tijela. Gradonačelnik predstavlja izvršno tijelo lokalne samouprave te mu kao takvom nije dana izričita ovlast na donošenje odluke o poništavanju javnih natječaja. Naime,  člankom 135. Ustava Republike Hrvatske određeno je da jedinice lokalne samouprave obavljaju poslove kojima se neposredno ostvaruju potrebe građana, dok </w:t>
            </w:r>
            <w:r w:rsidRPr="006C79C1">
              <w:lastRenderedPageBreak/>
              <w:t xml:space="preserve">je člankom 49. Ustava RH određeno kako su poduzetnička i tržišna sloboda temelj gospodarskog ustroja Republike Hrvatske koja se mogu iznimno ograničiti zakonom </w:t>
            </w:r>
            <w:r w:rsidRPr="006C79C1">
              <w:rPr>
                <w:i/>
                <w:iCs/>
              </w:rPr>
              <w:t>radi zaštite interesa i sigurnosti Republike Hrvatske, prirode, ljudskog okoliša i zdravlja ljudi</w:t>
            </w:r>
            <w:r w:rsidRPr="006C79C1">
              <w:t xml:space="preserve">. Upravo stoga, takvom odredbom gradonačelniku se daje ovlast samovoljno odlučivati o mogućnosti obavljanja poduzetničkih djelatnosti vanjskog oglašavanja, a što je protivno načelima Ustava te zakonskim propisima obzirom gradonačelnik kao izvršno tijelo jedinice lokalne samouprave nema takve ovlasti. Stoga, predlaže se iz Odluke izostaviti odredba kojom se daje takva ovlast gradonačelniku. </w:t>
            </w:r>
          </w:p>
          <w:p w:rsidR="00487368" w:rsidRPr="006C79C1" w:rsidRDefault="00A1571E" w:rsidP="00A1571E">
            <w:r w:rsidRPr="006C79C1">
              <w:t>Ukoliko se ne prihvati naprijed navedeni prijedlog,  slobodni smo predložiti da se predmetna odredba detaljnije razradi, odnosno da se navedu konkretni razlozi zbog kojih bi gradonačelnik mogao poništiti cijeli javni natječaj ili pojedinu lokaciju iz javnog natječaja ili ne prihvatiti niti jednu ponudu</w:t>
            </w:r>
          </w:p>
        </w:tc>
        <w:tc>
          <w:tcPr>
            <w:tcW w:w="2977" w:type="dxa"/>
            <w:tcBorders>
              <w:right w:val="thinThickSmallGap" w:sz="24" w:space="0" w:color="auto"/>
            </w:tcBorders>
            <w:shd w:val="clear" w:color="auto" w:fill="auto"/>
          </w:tcPr>
          <w:p w:rsidR="00487368" w:rsidRPr="006C79C1" w:rsidRDefault="00984797" w:rsidP="00654769">
            <w:r w:rsidRPr="006C79C1">
              <w:lastRenderedPageBreak/>
              <w:t>Primjedba se ne prihvaća.</w:t>
            </w:r>
          </w:p>
          <w:p w:rsidR="00984797" w:rsidRPr="006C79C1" w:rsidRDefault="00984797" w:rsidP="00654769">
            <w:r w:rsidRPr="006C79C1">
              <w:t>Gradonačelnik Grada Zagreba suk</w:t>
            </w:r>
            <w:r w:rsidR="0070468B" w:rsidRPr="006C79C1">
              <w:t>lad</w:t>
            </w:r>
            <w:r w:rsidRPr="006C79C1">
              <w:t>no zakonima i Statutu Grada Zagreba upravlja nekretninama</w:t>
            </w:r>
            <w:r w:rsidR="00740201" w:rsidRPr="006C79C1">
              <w:t xml:space="preserve"> i pokretninama u vlasništvu Grada Zagreba.</w:t>
            </w:r>
            <w:r w:rsidRPr="006C79C1">
              <w:t xml:space="preserve"> Pod upravljanjem</w:t>
            </w:r>
            <w:r w:rsidR="0070468B" w:rsidRPr="006C79C1">
              <w:t xml:space="preserve"> nekretninama</w:t>
            </w:r>
            <w:r w:rsidRPr="006C79C1">
              <w:t xml:space="preserve"> se smatra i njihovo davanje na privremeno korištenje. S obzirom da je </w:t>
            </w:r>
            <w:r w:rsidR="0070468B" w:rsidRPr="006C79C1">
              <w:t xml:space="preserve">gradonačelnik </w:t>
            </w:r>
            <w:r w:rsidRPr="006C79C1">
              <w:t>ovlašten na raspisivanje javnog</w:t>
            </w:r>
            <w:r w:rsidR="006C79C1">
              <w:t>a</w:t>
            </w:r>
            <w:bookmarkStart w:id="0" w:name="_GoBack"/>
            <w:bookmarkEnd w:id="0"/>
            <w:r w:rsidRPr="006C79C1">
              <w:t xml:space="preserve"> natječaja ima i ovlaštenje na poništenje istoga natječaja ako je to u interesu Grada Zagreba.</w:t>
            </w:r>
          </w:p>
        </w:tc>
      </w:tr>
      <w:tr w:rsidR="006C79C1" w:rsidRPr="006C79C1" w:rsidTr="00BB1231">
        <w:trPr>
          <w:trHeight w:val="763"/>
        </w:trPr>
        <w:tc>
          <w:tcPr>
            <w:tcW w:w="671" w:type="dxa"/>
            <w:tcBorders>
              <w:left w:val="thinThickSmallGap" w:sz="24" w:space="0" w:color="auto"/>
            </w:tcBorders>
            <w:shd w:val="clear" w:color="auto" w:fill="auto"/>
          </w:tcPr>
          <w:p w:rsidR="00487368" w:rsidRPr="006C79C1" w:rsidRDefault="00487368" w:rsidP="00487368"/>
        </w:tc>
        <w:tc>
          <w:tcPr>
            <w:tcW w:w="1849" w:type="dxa"/>
            <w:shd w:val="clear" w:color="auto" w:fill="auto"/>
          </w:tcPr>
          <w:p w:rsidR="00487368" w:rsidRPr="006C79C1" w:rsidRDefault="00487368" w:rsidP="00487368"/>
        </w:tc>
        <w:tc>
          <w:tcPr>
            <w:tcW w:w="1553" w:type="dxa"/>
            <w:shd w:val="clear" w:color="auto" w:fill="auto"/>
          </w:tcPr>
          <w:p w:rsidR="00487368" w:rsidRPr="006C79C1" w:rsidRDefault="00487368" w:rsidP="00487368"/>
        </w:tc>
        <w:tc>
          <w:tcPr>
            <w:tcW w:w="3260" w:type="dxa"/>
            <w:shd w:val="clear" w:color="auto" w:fill="auto"/>
          </w:tcPr>
          <w:p w:rsidR="00487368" w:rsidRPr="006C79C1" w:rsidRDefault="00487368" w:rsidP="00487368"/>
        </w:tc>
        <w:tc>
          <w:tcPr>
            <w:tcW w:w="2977" w:type="dxa"/>
            <w:tcBorders>
              <w:right w:val="thinThickSmallGap" w:sz="24" w:space="0" w:color="auto"/>
            </w:tcBorders>
            <w:shd w:val="clear" w:color="auto" w:fill="auto"/>
          </w:tcPr>
          <w:p w:rsidR="00487368" w:rsidRPr="006C79C1" w:rsidRDefault="00487368" w:rsidP="00487368"/>
        </w:tc>
      </w:tr>
      <w:tr w:rsidR="006C79C1" w:rsidRPr="006C79C1" w:rsidTr="00BB1231">
        <w:trPr>
          <w:trHeight w:val="893"/>
        </w:trPr>
        <w:tc>
          <w:tcPr>
            <w:tcW w:w="671" w:type="dxa"/>
            <w:tcBorders>
              <w:left w:val="thinThickSmallGap" w:sz="24" w:space="0" w:color="auto"/>
            </w:tcBorders>
            <w:shd w:val="clear" w:color="auto" w:fill="auto"/>
          </w:tcPr>
          <w:p w:rsidR="00487368" w:rsidRPr="006C79C1" w:rsidRDefault="00487368" w:rsidP="00487368"/>
        </w:tc>
        <w:tc>
          <w:tcPr>
            <w:tcW w:w="1849" w:type="dxa"/>
            <w:shd w:val="clear" w:color="auto" w:fill="auto"/>
          </w:tcPr>
          <w:p w:rsidR="00487368" w:rsidRPr="006C79C1" w:rsidRDefault="00487368" w:rsidP="00487368"/>
        </w:tc>
        <w:tc>
          <w:tcPr>
            <w:tcW w:w="1553" w:type="dxa"/>
            <w:shd w:val="clear" w:color="auto" w:fill="auto"/>
          </w:tcPr>
          <w:p w:rsidR="00487368" w:rsidRPr="006C79C1" w:rsidRDefault="00487368" w:rsidP="00487368"/>
        </w:tc>
        <w:tc>
          <w:tcPr>
            <w:tcW w:w="3260" w:type="dxa"/>
            <w:shd w:val="clear" w:color="auto" w:fill="auto"/>
          </w:tcPr>
          <w:p w:rsidR="00487368" w:rsidRPr="006C79C1" w:rsidRDefault="00487368" w:rsidP="00487368"/>
        </w:tc>
        <w:tc>
          <w:tcPr>
            <w:tcW w:w="2977" w:type="dxa"/>
            <w:tcBorders>
              <w:right w:val="thinThickSmallGap" w:sz="24" w:space="0" w:color="auto"/>
            </w:tcBorders>
            <w:shd w:val="clear" w:color="auto" w:fill="auto"/>
          </w:tcPr>
          <w:p w:rsidR="00487368" w:rsidRPr="006C79C1" w:rsidRDefault="00487368" w:rsidP="00487368"/>
        </w:tc>
      </w:tr>
      <w:tr w:rsidR="006C79C1" w:rsidRPr="006C79C1" w:rsidTr="00BB1231">
        <w:trPr>
          <w:trHeight w:val="899"/>
        </w:trPr>
        <w:tc>
          <w:tcPr>
            <w:tcW w:w="671" w:type="dxa"/>
            <w:tcBorders>
              <w:left w:val="thinThickSmallGap" w:sz="24" w:space="0" w:color="auto"/>
            </w:tcBorders>
            <w:shd w:val="clear" w:color="auto" w:fill="auto"/>
          </w:tcPr>
          <w:p w:rsidR="00487368" w:rsidRPr="006C79C1" w:rsidRDefault="00487368" w:rsidP="00487368"/>
        </w:tc>
        <w:tc>
          <w:tcPr>
            <w:tcW w:w="1849" w:type="dxa"/>
            <w:shd w:val="clear" w:color="auto" w:fill="auto"/>
          </w:tcPr>
          <w:p w:rsidR="00487368" w:rsidRPr="006C79C1" w:rsidRDefault="00487368" w:rsidP="00487368"/>
        </w:tc>
        <w:tc>
          <w:tcPr>
            <w:tcW w:w="1553" w:type="dxa"/>
            <w:shd w:val="clear" w:color="auto" w:fill="auto"/>
          </w:tcPr>
          <w:p w:rsidR="00487368" w:rsidRPr="006C79C1" w:rsidRDefault="00487368" w:rsidP="00487368"/>
        </w:tc>
        <w:tc>
          <w:tcPr>
            <w:tcW w:w="3260" w:type="dxa"/>
            <w:shd w:val="clear" w:color="auto" w:fill="auto"/>
          </w:tcPr>
          <w:p w:rsidR="00487368" w:rsidRPr="006C79C1" w:rsidRDefault="00487368" w:rsidP="00487368"/>
        </w:tc>
        <w:tc>
          <w:tcPr>
            <w:tcW w:w="2977" w:type="dxa"/>
            <w:tcBorders>
              <w:right w:val="thinThickSmallGap" w:sz="24" w:space="0" w:color="auto"/>
            </w:tcBorders>
            <w:shd w:val="clear" w:color="auto" w:fill="auto"/>
          </w:tcPr>
          <w:p w:rsidR="00487368" w:rsidRPr="006C79C1" w:rsidRDefault="00487368" w:rsidP="00487368"/>
        </w:tc>
      </w:tr>
      <w:tr w:rsidR="006C79C1" w:rsidRPr="006C79C1" w:rsidTr="00BB1231">
        <w:trPr>
          <w:trHeight w:val="899"/>
        </w:trPr>
        <w:tc>
          <w:tcPr>
            <w:tcW w:w="671" w:type="dxa"/>
            <w:tcBorders>
              <w:left w:val="thinThickSmallGap" w:sz="24" w:space="0" w:color="auto"/>
            </w:tcBorders>
            <w:shd w:val="clear" w:color="auto" w:fill="auto"/>
          </w:tcPr>
          <w:p w:rsidR="00487368" w:rsidRPr="006C79C1" w:rsidRDefault="00487368" w:rsidP="00487368"/>
        </w:tc>
        <w:tc>
          <w:tcPr>
            <w:tcW w:w="1849" w:type="dxa"/>
            <w:shd w:val="clear" w:color="auto" w:fill="auto"/>
          </w:tcPr>
          <w:p w:rsidR="00487368" w:rsidRPr="006C79C1" w:rsidRDefault="00487368" w:rsidP="00487368"/>
        </w:tc>
        <w:tc>
          <w:tcPr>
            <w:tcW w:w="1553" w:type="dxa"/>
            <w:shd w:val="clear" w:color="auto" w:fill="auto"/>
          </w:tcPr>
          <w:p w:rsidR="00487368" w:rsidRPr="006C79C1" w:rsidRDefault="00487368" w:rsidP="00487368"/>
        </w:tc>
        <w:tc>
          <w:tcPr>
            <w:tcW w:w="3260" w:type="dxa"/>
            <w:shd w:val="clear" w:color="auto" w:fill="auto"/>
          </w:tcPr>
          <w:p w:rsidR="00487368" w:rsidRPr="006C79C1" w:rsidRDefault="00487368" w:rsidP="00487368"/>
        </w:tc>
        <w:tc>
          <w:tcPr>
            <w:tcW w:w="2977" w:type="dxa"/>
            <w:tcBorders>
              <w:right w:val="thinThickSmallGap" w:sz="24" w:space="0" w:color="auto"/>
            </w:tcBorders>
            <w:shd w:val="clear" w:color="auto" w:fill="auto"/>
          </w:tcPr>
          <w:p w:rsidR="00487368" w:rsidRPr="006C79C1" w:rsidRDefault="00487368" w:rsidP="00487368"/>
        </w:tc>
      </w:tr>
      <w:tr w:rsidR="006C79C1" w:rsidRPr="006C79C1" w:rsidTr="00BB1231">
        <w:trPr>
          <w:trHeight w:val="899"/>
        </w:trPr>
        <w:tc>
          <w:tcPr>
            <w:tcW w:w="671" w:type="dxa"/>
            <w:tcBorders>
              <w:left w:val="thinThickSmallGap" w:sz="24" w:space="0" w:color="auto"/>
              <w:bottom w:val="thickThinSmallGap" w:sz="24" w:space="0" w:color="auto"/>
            </w:tcBorders>
            <w:shd w:val="clear" w:color="auto" w:fill="auto"/>
          </w:tcPr>
          <w:p w:rsidR="00487368" w:rsidRPr="006C79C1" w:rsidRDefault="00487368" w:rsidP="00487368"/>
        </w:tc>
        <w:tc>
          <w:tcPr>
            <w:tcW w:w="1849" w:type="dxa"/>
            <w:tcBorders>
              <w:bottom w:val="thickThinSmallGap" w:sz="24" w:space="0" w:color="auto"/>
            </w:tcBorders>
            <w:shd w:val="clear" w:color="auto" w:fill="auto"/>
          </w:tcPr>
          <w:p w:rsidR="00487368" w:rsidRPr="006C79C1" w:rsidRDefault="00487368" w:rsidP="00487368"/>
        </w:tc>
        <w:tc>
          <w:tcPr>
            <w:tcW w:w="1553" w:type="dxa"/>
            <w:tcBorders>
              <w:bottom w:val="thickThinSmallGap" w:sz="24" w:space="0" w:color="auto"/>
            </w:tcBorders>
            <w:shd w:val="clear" w:color="auto" w:fill="auto"/>
          </w:tcPr>
          <w:p w:rsidR="00487368" w:rsidRPr="006C79C1" w:rsidRDefault="00487368" w:rsidP="00487368"/>
        </w:tc>
        <w:tc>
          <w:tcPr>
            <w:tcW w:w="3260" w:type="dxa"/>
            <w:tcBorders>
              <w:bottom w:val="thickThinSmallGap" w:sz="24" w:space="0" w:color="auto"/>
            </w:tcBorders>
            <w:shd w:val="clear" w:color="auto" w:fill="auto"/>
          </w:tcPr>
          <w:p w:rsidR="00487368" w:rsidRPr="006C79C1" w:rsidRDefault="00487368" w:rsidP="00487368"/>
        </w:tc>
        <w:tc>
          <w:tcPr>
            <w:tcW w:w="2977" w:type="dxa"/>
            <w:tcBorders>
              <w:bottom w:val="thickThinSmallGap" w:sz="24" w:space="0" w:color="auto"/>
              <w:right w:val="thinThickSmallGap" w:sz="24" w:space="0" w:color="auto"/>
            </w:tcBorders>
            <w:shd w:val="clear" w:color="auto" w:fill="auto"/>
          </w:tcPr>
          <w:p w:rsidR="00487368" w:rsidRPr="006C79C1" w:rsidRDefault="00487368" w:rsidP="00487368"/>
        </w:tc>
      </w:tr>
    </w:tbl>
    <w:p w:rsidR="0021407F" w:rsidRPr="006C79C1" w:rsidRDefault="0021407F"/>
    <w:sectPr w:rsidR="0021407F" w:rsidRPr="006C79C1" w:rsidSect="00487368">
      <w:pgSz w:w="11906" w:h="16838"/>
      <w:pgMar w:top="107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68"/>
    <w:rsid w:val="000950BB"/>
    <w:rsid w:val="0021407F"/>
    <w:rsid w:val="002C1329"/>
    <w:rsid w:val="00313306"/>
    <w:rsid w:val="00423E43"/>
    <w:rsid w:val="00485374"/>
    <w:rsid w:val="00487368"/>
    <w:rsid w:val="00654769"/>
    <w:rsid w:val="006C79C1"/>
    <w:rsid w:val="006F610D"/>
    <w:rsid w:val="0070468B"/>
    <w:rsid w:val="00706885"/>
    <w:rsid w:val="00740201"/>
    <w:rsid w:val="00776E40"/>
    <w:rsid w:val="007B4BB5"/>
    <w:rsid w:val="00984797"/>
    <w:rsid w:val="009A5822"/>
    <w:rsid w:val="009B6CE1"/>
    <w:rsid w:val="00A1571E"/>
    <w:rsid w:val="00A7574B"/>
    <w:rsid w:val="00B801C5"/>
    <w:rsid w:val="00BB1231"/>
    <w:rsid w:val="00C176A4"/>
    <w:rsid w:val="00DA3CD1"/>
    <w:rsid w:val="00FD70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F54A"/>
  <w15:chartTrackingRefBased/>
  <w15:docId w15:val="{D6A446AA-6D5B-4831-A787-00E639AD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73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571E"/>
    <w:rPr>
      <w:rFonts w:ascii="Calibri" w:eastAsia="Calibri" w:hAnsi="Calibri"/>
      <w:sz w:val="22"/>
      <w:szCs w:val="22"/>
      <w:lang w:eastAsia="en-US"/>
    </w:rPr>
  </w:style>
  <w:style w:type="paragraph" w:styleId="BalloonText">
    <w:name w:val="Balloon Text"/>
    <w:basedOn w:val="Normal"/>
    <w:link w:val="BalloonTextChar"/>
    <w:rsid w:val="006F610D"/>
    <w:rPr>
      <w:rFonts w:ascii="Segoe UI" w:hAnsi="Segoe UI" w:cs="Segoe UI"/>
      <w:sz w:val="18"/>
      <w:szCs w:val="18"/>
    </w:rPr>
  </w:style>
  <w:style w:type="character" w:customStyle="1" w:styleId="BalloonTextChar">
    <w:name w:val="Balloon Text Char"/>
    <w:basedOn w:val="DefaultParagraphFont"/>
    <w:link w:val="BalloonText"/>
    <w:rsid w:val="006F61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8020">
      <w:bodyDiv w:val="1"/>
      <w:marLeft w:val="0"/>
      <w:marRight w:val="0"/>
      <w:marTop w:val="0"/>
      <w:marBottom w:val="0"/>
      <w:divBdr>
        <w:top w:val="none" w:sz="0" w:space="0" w:color="auto"/>
        <w:left w:val="none" w:sz="0" w:space="0" w:color="auto"/>
        <w:bottom w:val="none" w:sz="0" w:space="0" w:color="auto"/>
        <w:right w:val="none" w:sz="0" w:space="0" w:color="auto"/>
      </w:divBdr>
    </w:div>
    <w:div w:id="1427926422">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OBRAZAC</vt:lpstr>
    </vt:vector>
  </TitlesOfParts>
  <Company>Grad Zagreb</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azenko</dc:creator>
  <cp:keywords/>
  <cp:lastModifiedBy>Renata Škudar</cp:lastModifiedBy>
  <cp:revision>6</cp:revision>
  <cp:lastPrinted>2019-09-03T13:25:00Z</cp:lastPrinted>
  <dcterms:created xsi:type="dcterms:W3CDTF">2019-09-03T06:56:00Z</dcterms:created>
  <dcterms:modified xsi:type="dcterms:W3CDTF">2019-09-03T13:45:00Z</dcterms:modified>
</cp:coreProperties>
</file>